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8F" w:rsidRDefault="00AE7EC7">
      <w:r>
        <w:rPr>
          <w:rFonts w:ascii="Segoe UI" w:hAnsi="Segoe UI" w:cs="Segoe UI"/>
          <w:noProof/>
          <w:sz w:val="20"/>
          <w:szCs w:val="20"/>
          <w:lang w:eastAsia="fr-CA"/>
        </w:rPr>
        <w:drawing>
          <wp:inline distT="0" distB="0" distL="0" distR="0">
            <wp:extent cx="4191000" cy="4324350"/>
            <wp:effectExtent l="0" t="0" r="0" b="0"/>
            <wp:docPr id="1" name="Image 1" descr="cid:DMYVGBMLGCDZ.GW_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MYVGBMLGCDZ.GW_00002.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91000" cy="4324350"/>
                    </a:xfrm>
                    <a:prstGeom prst="rect">
                      <a:avLst/>
                    </a:prstGeom>
                    <a:noFill/>
                    <a:ln>
                      <a:noFill/>
                    </a:ln>
                  </pic:spPr>
                </pic:pic>
              </a:graphicData>
            </a:graphic>
          </wp:inline>
        </w:drawing>
      </w:r>
    </w:p>
    <w:p w:rsidR="00AE7EC7" w:rsidRDefault="00AE7EC7"/>
    <w:p w:rsidR="00AE7EC7" w:rsidRDefault="00AE7EC7"/>
    <w:p w:rsidR="00A54BE2" w:rsidRDefault="00A54BE2" w:rsidP="00A54BE2">
      <w:pPr>
        <w:jc w:val="center"/>
        <w:rPr>
          <w:rFonts w:ascii="Segoe UI" w:hAnsi="Segoe UI" w:cs="Segoe UI"/>
          <w:b/>
          <w:bCs/>
        </w:rPr>
      </w:pPr>
      <w:r>
        <w:rPr>
          <w:rFonts w:ascii="Segoe UI" w:hAnsi="Segoe UI" w:cs="Segoe UI"/>
          <w:b/>
          <w:bCs/>
        </w:rPr>
        <w:t xml:space="preserve">Suivez les capsules mensuelles de prévention des incendies sur </w:t>
      </w:r>
      <w:hyperlink r:id="rId7" w:history="1">
        <w:r>
          <w:rPr>
            <w:rStyle w:val="Lienhypertexte"/>
            <w:rFonts w:ascii="Segoe UI" w:hAnsi="Segoe UI" w:cs="Segoe UI"/>
            <w:color w:val="0563C1"/>
          </w:rPr>
          <w:t>Facebook</w:t>
        </w:r>
      </w:hyperlink>
      <w:r>
        <w:rPr>
          <w:rFonts w:ascii="Segoe UI" w:hAnsi="Segoe UI" w:cs="Segoe UI"/>
          <w:b/>
          <w:bCs/>
        </w:rPr>
        <w:t xml:space="preserve">, sur </w:t>
      </w:r>
      <w:hyperlink r:id="rId8" w:history="1">
        <w:r>
          <w:rPr>
            <w:rStyle w:val="Lienhypertexte"/>
            <w:rFonts w:ascii="Segoe UI" w:hAnsi="Segoe UI" w:cs="Segoe UI"/>
            <w:color w:val="0563C1"/>
          </w:rPr>
          <w:t>Instagram</w:t>
        </w:r>
      </w:hyperlink>
      <w:r>
        <w:rPr>
          <w:rFonts w:ascii="Segoe UI" w:hAnsi="Segoe UI" w:cs="Segoe UI"/>
          <w:b/>
          <w:bCs/>
        </w:rPr>
        <w:t xml:space="preserve"> ou sur le </w:t>
      </w:r>
      <w:hyperlink r:id="rId9" w:history="1">
        <w:r>
          <w:rPr>
            <w:rStyle w:val="Lienhypertexte"/>
            <w:rFonts w:ascii="Segoe UI" w:hAnsi="Segoe UI" w:cs="Segoe UI"/>
            <w:color w:val="0563C1"/>
          </w:rPr>
          <w:t>site Web</w:t>
        </w:r>
      </w:hyperlink>
      <w:r>
        <w:rPr>
          <w:rFonts w:ascii="Segoe UI" w:hAnsi="Segoe UI" w:cs="Segoe UI"/>
          <w:b/>
          <w:bCs/>
        </w:rPr>
        <w:t xml:space="preserve"> du ministère de la Sécurité publique</w:t>
      </w:r>
    </w:p>
    <w:p w:rsidR="00A54BE2" w:rsidRDefault="00A54BE2" w:rsidP="00A54BE2">
      <w:pPr>
        <w:jc w:val="center"/>
        <w:rPr>
          <w:rFonts w:ascii="Segoe UI" w:hAnsi="Segoe UI" w:cs="Segoe UI"/>
          <w:b/>
          <w:bCs/>
        </w:rPr>
      </w:pPr>
    </w:p>
    <w:p w:rsidR="00AE7EC7" w:rsidRDefault="00AE7EC7"/>
    <w:p w:rsidR="00190C9E" w:rsidRDefault="00190C9E" w:rsidP="00190C9E">
      <w:pPr>
        <w:jc w:val="both"/>
        <w:rPr>
          <w:rFonts w:ascii="Segoe UI" w:hAnsi="Segoe UI" w:cs="Segoe UI"/>
        </w:rPr>
      </w:pPr>
      <w:r>
        <w:rPr>
          <w:rFonts w:ascii="Segoe UI" w:hAnsi="Segoe UI" w:cs="Segoe UI"/>
        </w:rPr>
        <w:t xml:space="preserve">Dans le cadre de sa stratégie de prévention des incendies 2018-2019, le ministère de la Sécurité publique vous propose à la veille du changement d’heure qui aura lieu dans </w:t>
      </w:r>
      <w:r>
        <w:rPr>
          <w:rFonts w:ascii="Segoe UI" w:hAnsi="Segoe UI" w:cs="Segoe UI"/>
          <w:shd w:val="clear" w:color="auto" w:fill="FFFFFF"/>
        </w:rPr>
        <w:t>la nuit du 3 au 4 novembre prochain,</w:t>
      </w:r>
      <w:r>
        <w:rPr>
          <w:rFonts w:ascii="Segoe UI" w:hAnsi="Segoe UI" w:cs="Segoe UI"/>
        </w:rPr>
        <w:t xml:space="preserve"> une capsule de prévention incendie ayant pour titre : « Changement d’heure : vérifiez votre avertisseur! ».</w:t>
      </w:r>
    </w:p>
    <w:p w:rsidR="00190C9E" w:rsidRDefault="00190C9E" w:rsidP="00190C9E">
      <w:pPr>
        <w:jc w:val="both"/>
        <w:rPr>
          <w:rFonts w:ascii="Segoe UI" w:hAnsi="Segoe UI" w:cs="Segoe UI"/>
        </w:rPr>
      </w:pPr>
      <w:r>
        <w:rPr>
          <w:rFonts w:ascii="Segoe UI" w:hAnsi="Segoe UI" w:cs="Segoe UI"/>
        </w:rPr>
        <w:t>Parce que l’efficacité de l’avertisseur de fumée ne se limite pas exclusivement au fait qu’il soit alimenté par une pile fonctionnelle, il est important de rappeler aux citoyens les consignes d’une bonne installation et d’un bon entretien de l’appareil.</w:t>
      </w:r>
    </w:p>
    <w:p w:rsidR="00190C9E" w:rsidRDefault="00190C9E" w:rsidP="00190C9E">
      <w:pPr>
        <w:jc w:val="both"/>
        <w:rPr>
          <w:rFonts w:ascii="Segoe UI" w:hAnsi="Segoe UI" w:cs="Segoe UI"/>
        </w:rPr>
      </w:pPr>
    </w:p>
    <w:p w:rsidR="00190C9E" w:rsidRDefault="00190C9E" w:rsidP="00190C9E">
      <w:pPr>
        <w:jc w:val="both"/>
        <w:rPr>
          <w:rFonts w:ascii="Segoe UI" w:hAnsi="Segoe UI" w:cs="Segoe UI"/>
        </w:rPr>
      </w:pPr>
      <w:r>
        <w:rPr>
          <w:rFonts w:ascii="Segoe UI" w:hAnsi="Segoe UI" w:cs="Segoe UI"/>
        </w:rPr>
        <w:t xml:space="preserve">Cette capsule est disponible sur la </w:t>
      </w:r>
      <w:hyperlink r:id="rId10" w:history="1">
        <w:r>
          <w:rPr>
            <w:rStyle w:val="Lienhypertexte"/>
            <w:rFonts w:ascii="Segoe UI" w:hAnsi="Segoe UI" w:cs="Segoe UI"/>
            <w:color w:val="0563C1"/>
          </w:rPr>
          <w:t>page Facebook</w:t>
        </w:r>
      </w:hyperlink>
      <w:r>
        <w:rPr>
          <w:rStyle w:val="Lienhypertexte"/>
          <w:rFonts w:ascii="Segoe UI" w:hAnsi="Segoe UI" w:cs="Segoe UI"/>
          <w:color w:val="0563C1"/>
        </w:rPr>
        <w:t>,</w:t>
      </w:r>
      <w:r>
        <w:rPr>
          <w:rFonts w:ascii="Segoe UI" w:hAnsi="Segoe UI" w:cs="Segoe UI"/>
        </w:rPr>
        <w:t xml:space="preserve"> </w:t>
      </w:r>
      <w:hyperlink r:id="rId11" w:history="1">
        <w:r>
          <w:rPr>
            <w:rStyle w:val="Lienhypertexte"/>
            <w:rFonts w:ascii="Segoe UI" w:hAnsi="Segoe UI" w:cs="Segoe UI"/>
            <w:color w:val="0563C1"/>
          </w:rPr>
          <w:t>Instagram</w:t>
        </w:r>
      </w:hyperlink>
      <w:r>
        <w:rPr>
          <w:rFonts w:ascii="Segoe UI" w:hAnsi="Segoe UI" w:cs="Segoe UI"/>
        </w:rPr>
        <w:t xml:space="preserve"> et </w:t>
      </w:r>
      <w:hyperlink r:id="rId12" w:history="1">
        <w:r>
          <w:rPr>
            <w:rStyle w:val="Lienhypertexte"/>
            <w:rFonts w:ascii="Segoe UI" w:hAnsi="Segoe UI" w:cs="Segoe UI"/>
            <w:color w:val="0563C1"/>
          </w:rPr>
          <w:t>Twitter</w:t>
        </w:r>
      </w:hyperlink>
      <w:r>
        <w:rPr>
          <w:rStyle w:val="Lienhypertexte"/>
          <w:rFonts w:ascii="Segoe UI" w:hAnsi="Segoe UI" w:cs="Segoe UI"/>
          <w:color w:val="0563C1"/>
        </w:rPr>
        <w:t xml:space="preserve"> </w:t>
      </w:r>
      <w:r>
        <w:rPr>
          <w:rFonts w:ascii="Segoe UI" w:hAnsi="Segoe UI" w:cs="Segoe UI"/>
        </w:rPr>
        <w:t xml:space="preserve">du ministère ainsi que sur le </w:t>
      </w:r>
      <w:hyperlink r:id="rId13" w:history="1">
        <w:r>
          <w:rPr>
            <w:rStyle w:val="Lienhypertexte"/>
            <w:rFonts w:ascii="Segoe UI" w:hAnsi="Segoe UI" w:cs="Segoe UI"/>
            <w:color w:val="0563C1"/>
          </w:rPr>
          <w:t>site Web du MSP</w:t>
        </w:r>
      </w:hyperlink>
      <w:r>
        <w:rPr>
          <w:rFonts w:ascii="Segoe UI" w:hAnsi="Segoe UI" w:cs="Segoe UI"/>
        </w:rPr>
        <w:t xml:space="preserve"> où il est possible de consulter l'ensemble des messages de prévention.</w:t>
      </w:r>
    </w:p>
    <w:p w:rsidR="000F2EE3" w:rsidRDefault="000F2EE3">
      <w:pPr>
        <w:rPr>
          <w:rFonts w:ascii="Segoe UI" w:hAnsi="Segoe UI" w:cs="Segoe UI"/>
          <w:sz w:val="20"/>
          <w:szCs w:val="20"/>
        </w:rPr>
      </w:pPr>
      <w:r>
        <w:rPr>
          <w:rFonts w:ascii="Segoe UI" w:hAnsi="Segoe UI" w:cs="Segoe UI"/>
          <w:sz w:val="20"/>
          <w:szCs w:val="20"/>
        </w:rPr>
        <w:br w:type="page"/>
      </w:r>
    </w:p>
    <w:p w:rsidR="00190C9E" w:rsidRDefault="00190C9E" w:rsidP="00190C9E">
      <w:pPr>
        <w:rPr>
          <w:rFonts w:ascii="Segoe UI" w:hAnsi="Segoe UI" w:cs="Segoe UI"/>
          <w:sz w:val="20"/>
          <w:szCs w:val="20"/>
        </w:rPr>
      </w:pPr>
      <w:bookmarkStart w:id="0" w:name="_GoBack"/>
      <w:bookmarkEnd w:id="0"/>
    </w:p>
    <w:p w:rsidR="00190C9E" w:rsidRDefault="00190C9E" w:rsidP="00190C9E">
      <w:pPr>
        <w:rPr>
          <w:rFonts w:ascii="Segoe UI" w:hAnsi="Segoe UI" w:cs="Segoe UI"/>
          <w:sz w:val="20"/>
          <w:szCs w:val="20"/>
        </w:rPr>
      </w:pPr>
      <w:r>
        <w:rPr>
          <w:rStyle w:val="lev"/>
          <w:rFonts w:ascii="Arial" w:hAnsi="Arial" w:cs="Arial"/>
          <w:sz w:val="20"/>
          <w:szCs w:val="20"/>
        </w:rPr>
        <w:t>Prévention incendie</w:t>
      </w:r>
    </w:p>
    <w:p w:rsidR="00190C9E" w:rsidRDefault="00190C9E" w:rsidP="00190C9E">
      <w:pPr>
        <w:rPr>
          <w:rFonts w:ascii="Segoe UI" w:hAnsi="Segoe UI" w:cs="Segoe UI"/>
          <w:sz w:val="20"/>
          <w:szCs w:val="20"/>
        </w:rPr>
      </w:pPr>
      <w:r>
        <w:rPr>
          <w:rFonts w:ascii="Arial" w:hAnsi="Arial" w:cs="Arial"/>
          <w:sz w:val="20"/>
          <w:szCs w:val="20"/>
        </w:rPr>
        <w:t>Direction de la sécurité incendie</w:t>
      </w:r>
    </w:p>
    <w:p w:rsidR="00190C9E" w:rsidRDefault="00190C9E" w:rsidP="00190C9E">
      <w:pPr>
        <w:rPr>
          <w:rFonts w:ascii="Segoe UI" w:hAnsi="Segoe UI" w:cs="Segoe UI"/>
          <w:sz w:val="20"/>
          <w:szCs w:val="20"/>
        </w:rPr>
      </w:pPr>
      <w:r>
        <w:rPr>
          <w:rFonts w:ascii="Arial" w:hAnsi="Arial" w:cs="Arial"/>
          <w:sz w:val="20"/>
          <w:szCs w:val="20"/>
        </w:rPr>
        <w:t>Ministère de la Sécurité publique</w:t>
      </w:r>
      <w:r>
        <w:rPr>
          <w:rFonts w:ascii="Arial" w:hAnsi="Arial" w:cs="Arial"/>
          <w:sz w:val="20"/>
          <w:szCs w:val="20"/>
        </w:rPr>
        <w:br/>
        <w:t>2525, boul. Laurier</w:t>
      </w:r>
      <w:r>
        <w:rPr>
          <w:rFonts w:ascii="Arial" w:hAnsi="Arial" w:cs="Arial"/>
          <w:sz w:val="20"/>
          <w:szCs w:val="20"/>
        </w:rPr>
        <w:br/>
        <w:t>Tour Saint-Laurent, 6e étage</w:t>
      </w:r>
      <w:r>
        <w:rPr>
          <w:rFonts w:ascii="Arial" w:hAnsi="Arial" w:cs="Arial"/>
          <w:sz w:val="20"/>
          <w:szCs w:val="20"/>
        </w:rPr>
        <w:br/>
        <w:t>Québec  (Québec)  G1V 2L2</w:t>
      </w:r>
    </w:p>
    <w:p w:rsidR="00190C9E" w:rsidRDefault="00190C9E" w:rsidP="00190C9E">
      <w:pPr>
        <w:rPr>
          <w:rFonts w:ascii="Segoe UI" w:hAnsi="Segoe UI" w:cs="Segoe UI"/>
          <w:sz w:val="20"/>
          <w:szCs w:val="20"/>
        </w:rPr>
      </w:pPr>
      <w:r>
        <w:rPr>
          <w:rFonts w:ascii="Arial" w:hAnsi="Arial" w:cs="Arial"/>
          <w:sz w:val="20"/>
          <w:szCs w:val="20"/>
        </w:rPr>
        <w:t xml:space="preserve">Téléphone: 418 646-6777 </w:t>
      </w:r>
      <w:proofErr w:type="gramStart"/>
      <w:r>
        <w:rPr>
          <w:rFonts w:ascii="Arial" w:hAnsi="Arial" w:cs="Arial"/>
          <w:sz w:val="20"/>
          <w:szCs w:val="20"/>
        </w:rPr>
        <w:t>poste</w:t>
      </w:r>
      <w:proofErr w:type="gramEnd"/>
      <w:r>
        <w:rPr>
          <w:rFonts w:ascii="Arial" w:hAnsi="Arial" w:cs="Arial"/>
          <w:sz w:val="20"/>
          <w:szCs w:val="20"/>
        </w:rPr>
        <w:t xml:space="preserve"> 40017</w:t>
      </w:r>
    </w:p>
    <w:p w:rsidR="00190C9E" w:rsidRDefault="00190C9E" w:rsidP="00190C9E">
      <w:pPr>
        <w:rPr>
          <w:rFonts w:ascii="Segoe UI" w:hAnsi="Segoe UI" w:cs="Segoe UI"/>
          <w:sz w:val="20"/>
          <w:szCs w:val="20"/>
        </w:rPr>
      </w:pPr>
      <w:r>
        <w:rPr>
          <w:rFonts w:ascii="Arial" w:hAnsi="Arial" w:cs="Arial"/>
          <w:sz w:val="20"/>
          <w:szCs w:val="20"/>
        </w:rPr>
        <w:t>Sans frais :</w:t>
      </w:r>
      <w:proofErr w:type="gramStart"/>
      <w:r>
        <w:rPr>
          <w:rFonts w:ascii="Arial" w:hAnsi="Arial" w:cs="Arial"/>
          <w:sz w:val="20"/>
          <w:szCs w:val="20"/>
        </w:rPr>
        <w:t>  1</w:t>
      </w:r>
      <w:proofErr w:type="gramEnd"/>
      <w:r>
        <w:rPr>
          <w:rFonts w:ascii="Arial" w:hAnsi="Arial" w:cs="Arial"/>
          <w:sz w:val="20"/>
          <w:szCs w:val="20"/>
        </w:rPr>
        <w:t xml:space="preserve"> 866 702-9214 poste 2</w:t>
      </w:r>
    </w:p>
    <w:p w:rsidR="00190C9E" w:rsidRDefault="00190C9E" w:rsidP="00190C9E">
      <w:pPr>
        <w:rPr>
          <w:rFonts w:ascii="Segoe UI" w:hAnsi="Segoe UI" w:cs="Segoe UI"/>
          <w:sz w:val="20"/>
          <w:szCs w:val="20"/>
        </w:rPr>
      </w:pPr>
      <w:r>
        <w:rPr>
          <w:rFonts w:ascii="Arial" w:hAnsi="Arial" w:cs="Arial"/>
          <w:sz w:val="20"/>
          <w:szCs w:val="20"/>
        </w:rPr>
        <w:t>Télécopieur : 418 644-4448</w:t>
      </w:r>
    </w:p>
    <w:p w:rsidR="00190C9E" w:rsidRDefault="00190C9E" w:rsidP="00190C9E">
      <w:pPr>
        <w:rPr>
          <w:rFonts w:ascii="Segoe UI" w:hAnsi="Segoe UI" w:cs="Segoe UI"/>
          <w:sz w:val="20"/>
          <w:szCs w:val="20"/>
        </w:rPr>
      </w:pPr>
      <w:r>
        <w:rPr>
          <w:rFonts w:ascii="Segoe UI" w:hAnsi="Segoe UI" w:cs="Segoe UI"/>
          <w:sz w:val="20"/>
          <w:szCs w:val="20"/>
        </w:rPr>
        <w:t> </w:t>
      </w:r>
    </w:p>
    <w:p w:rsidR="00190C9E" w:rsidRDefault="00190C9E" w:rsidP="00190C9E">
      <w:pPr>
        <w:rPr>
          <w:rFonts w:ascii="Segoe UI" w:hAnsi="Segoe UI" w:cs="Segoe UI"/>
          <w:sz w:val="20"/>
          <w:szCs w:val="20"/>
        </w:rPr>
      </w:pPr>
      <w:r>
        <w:rPr>
          <w:rFonts w:ascii="Segoe UI" w:hAnsi="Segoe UI" w:cs="Segoe UI"/>
          <w:noProof/>
          <w:sz w:val="20"/>
          <w:szCs w:val="20"/>
          <w:lang w:eastAsia="fr-CA"/>
        </w:rPr>
        <w:drawing>
          <wp:inline distT="0" distB="0" distL="0" distR="0">
            <wp:extent cx="2943225" cy="1323975"/>
            <wp:effectExtent l="0" t="0" r="9525" b="9525"/>
            <wp:docPr id="2" name="Image 2" descr="cid:YZGDRPZFVUYK.IMAGE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YZGDRPZFVUYK.IMAGE_32.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43225" cy="1323975"/>
                    </a:xfrm>
                    <a:prstGeom prst="rect">
                      <a:avLst/>
                    </a:prstGeom>
                    <a:noFill/>
                    <a:ln>
                      <a:noFill/>
                    </a:ln>
                  </pic:spPr>
                </pic:pic>
              </a:graphicData>
            </a:graphic>
          </wp:inline>
        </w:drawing>
      </w:r>
    </w:p>
    <w:p w:rsidR="00190C9E" w:rsidRDefault="00190C9E" w:rsidP="00190C9E">
      <w:pPr>
        <w:rPr>
          <w:rFonts w:ascii="Segoe UI" w:hAnsi="Segoe UI" w:cs="Segoe UI"/>
          <w:sz w:val="20"/>
          <w:szCs w:val="20"/>
        </w:rPr>
      </w:pPr>
      <w:r>
        <w:rPr>
          <w:rFonts w:ascii="Segoe UI" w:hAnsi="Segoe UI" w:cs="Segoe UI"/>
          <w:sz w:val="20"/>
          <w:szCs w:val="20"/>
        </w:rPr>
        <w:t> </w:t>
      </w:r>
    </w:p>
    <w:p w:rsidR="00190C9E" w:rsidRDefault="00190C9E" w:rsidP="00190C9E">
      <w:pPr>
        <w:rPr>
          <w:rFonts w:ascii="Calibri" w:hAnsi="Calibri" w:cs="Times New Roman"/>
          <w:sz w:val="20"/>
          <w:szCs w:val="20"/>
        </w:rPr>
      </w:pPr>
      <w:r>
        <w:rPr>
          <w:rFonts w:ascii="Calibri" w:hAnsi="Calibri"/>
          <w:sz w:val="20"/>
          <w:szCs w:val="20"/>
        </w:rPr>
        <w:t xml:space="preserve">"Vérifier </w:t>
      </w:r>
      <w:hyperlink r:id="rId16" w:history="1">
        <w:r>
          <w:rPr>
            <w:rStyle w:val="Lienhypertexte"/>
            <w:rFonts w:ascii="Calibri" w:hAnsi="Calibri"/>
            <w:color w:val="0563C1"/>
            <w:sz w:val="20"/>
            <w:szCs w:val="20"/>
          </w:rPr>
          <w:t>l’avertisseur</w:t>
        </w:r>
      </w:hyperlink>
      <w:r>
        <w:rPr>
          <w:rFonts w:ascii="Calibri" w:hAnsi="Calibri"/>
          <w:sz w:val="20"/>
          <w:szCs w:val="20"/>
        </w:rPr>
        <w:t xml:space="preserve">, c’est : </w:t>
      </w:r>
      <w:r>
        <w:rPr>
          <w:rFonts w:ascii="Wingdings 2" w:hAnsi="Wingdings 2"/>
          <w:sz w:val="20"/>
          <w:szCs w:val="20"/>
        </w:rPr>
        <w:t></w:t>
      </w:r>
      <w:r>
        <w:rPr>
          <w:rFonts w:ascii="Calibri" w:hAnsi="Calibri"/>
          <w:sz w:val="20"/>
          <w:szCs w:val="20"/>
        </w:rPr>
        <w:t xml:space="preserve"> Tester son bon fonctionnement, </w:t>
      </w:r>
      <w:r>
        <w:rPr>
          <w:rFonts w:ascii="Wingdings 2" w:hAnsi="Wingdings 2"/>
          <w:sz w:val="20"/>
          <w:szCs w:val="20"/>
        </w:rPr>
        <w:t></w:t>
      </w:r>
      <w:r>
        <w:rPr>
          <w:rFonts w:ascii="Calibri" w:hAnsi="Calibri"/>
          <w:sz w:val="20"/>
          <w:szCs w:val="20"/>
        </w:rPr>
        <w:t xml:space="preserve"> Vous assurer qu’il est installé au bon endroit, sur chaque étage de votre domicile, </w:t>
      </w:r>
      <w:r>
        <w:rPr>
          <w:rFonts w:ascii="Wingdings 2" w:hAnsi="Wingdings 2"/>
          <w:sz w:val="20"/>
          <w:szCs w:val="20"/>
        </w:rPr>
        <w:t></w:t>
      </w:r>
      <w:r>
        <w:rPr>
          <w:rFonts w:ascii="Calibri" w:hAnsi="Calibri"/>
          <w:sz w:val="20"/>
          <w:szCs w:val="20"/>
        </w:rPr>
        <w:t xml:space="preserve"> Valider qu’il a moins de 10 ans."</w:t>
      </w:r>
    </w:p>
    <w:p w:rsidR="00A54BE2" w:rsidRDefault="00A54BE2"/>
    <w:sectPr w:rsidR="00A54BE2" w:rsidSect="00186D3D">
      <w:pgSz w:w="12240" w:h="15840" w:code="1"/>
      <w:pgMar w:top="1440" w:right="1797" w:bottom="1440" w:left="1797" w:header="567"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C7"/>
    <w:rsid w:val="000F2EE3"/>
    <w:rsid w:val="00186D3D"/>
    <w:rsid w:val="00190C9E"/>
    <w:rsid w:val="0053598F"/>
    <w:rsid w:val="00A54BE2"/>
    <w:rsid w:val="00AE7E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7EC7"/>
    <w:rPr>
      <w:rFonts w:ascii="Tahoma" w:hAnsi="Tahoma" w:cs="Tahoma"/>
      <w:sz w:val="16"/>
      <w:szCs w:val="16"/>
    </w:rPr>
  </w:style>
  <w:style w:type="character" w:customStyle="1" w:styleId="TextedebullesCar">
    <w:name w:val="Texte de bulles Car"/>
    <w:basedOn w:val="Policepardfaut"/>
    <w:link w:val="Textedebulles"/>
    <w:uiPriority w:val="99"/>
    <w:semiHidden/>
    <w:rsid w:val="00AE7EC7"/>
    <w:rPr>
      <w:rFonts w:ascii="Tahoma" w:hAnsi="Tahoma" w:cs="Tahoma"/>
      <w:sz w:val="16"/>
      <w:szCs w:val="16"/>
    </w:rPr>
  </w:style>
  <w:style w:type="character" w:styleId="Lienhypertexte">
    <w:name w:val="Hyperlink"/>
    <w:basedOn w:val="Policepardfaut"/>
    <w:uiPriority w:val="99"/>
    <w:semiHidden/>
    <w:unhideWhenUsed/>
    <w:rsid w:val="00A54BE2"/>
    <w:rPr>
      <w:color w:val="000000"/>
      <w:u w:val="single"/>
    </w:rPr>
  </w:style>
  <w:style w:type="character" w:styleId="lev">
    <w:name w:val="Strong"/>
    <w:basedOn w:val="Policepardfaut"/>
    <w:uiPriority w:val="22"/>
    <w:qFormat/>
    <w:rsid w:val="00190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7EC7"/>
    <w:rPr>
      <w:rFonts w:ascii="Tahoma" w:hAnsi="Tahoma" w:cs="Tahoma"/>
      <w:sz w:val="16"/>
      <w:szCs w:val="16"/>
    </w:rPr>
  </w:style>
  <w:style w:type="character" w:customStyle="1" w:styleId="TextedebullesCar">
    <w:name w:val="Texte de bulles Car"/>
    <w:basedOn w:val="Policepardfaut"/>
    <w:link w:val="Textedebulles"/>
    <w:uiPriority w:val="99"/>
    <w:semiHidden/>
    <w:rsid w:val="00AE7EC7"/>
    <w:rPr>
      <w:rFonts w:ascii="Tahoma" w:hAnsi="Tahoma" w:cs="Tahoma"/>
      <w:sz w:val="16"/>
      <w:szCs w:val="16"/>
    </w:rPr>
  </w:style>
  <w:style w:type="character" w:styleId="Lienhypertexte">
    <w:name w:val="Hyperlink"/>
    <w:basedOn w:val="Policepardfaut"/>
    <w:uiPriority w:val="99"/>
    <w:semiHidden/>
    <w:unhideWhenUsed/>
    <w:rsid w:val="00A54BE2"/>
    <w:rPr>
      <w:color w:val="000000"/>
      <w:u w:val="single"/>
    </w:rPr>
  </w:style>
  <w:style w:type="character" w:styleId="lev">
    <w:name w:val="Strong"/>
    <w:basedOn w:val="Policepardfaut"/>
    <w:uiPriority w:val="22"/>
    <w:qFormat/>
    <w:rsid w:val="00190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7726">
      <w:bodyDiv w:val="1"/>
      <w:marLeft w:val="0"/>
      <w:marRight w:val="0"/>
      <w:marTop w:val="0"/>
      <w:marBottom w:val="0"/>
      <w:divBdr>
        <w:top w:val="none" w:sz="0" w:space="0" w:color="auto"/>
        <w:left w:val="none" w:sz="0" w:space="0" w:color="auto"/>
        <w:bottom w:val="none" w:sz="0" w:space="0" w:color="auto"/>
        <w:right w:val="none" w:sz="0" w:space="0" w:color="auto"/>
      </w:divBdr>
    </w:div>
    <w:div w:id="12416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ecuritepubliqueqc/" TargetMode="External"/><Relationship Id="rId13" Type="http://schemas.openxmlformats.org/officeDocument/2006/relationships/hyperlink" Target="http://www.securitepublique.gouv.qc.ca/securite-incendie/prevenir-incendie/conseils-prevention/capsule-preven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ecuritepublique/?fref=ts" TargetMode="External"/><Relationship Id="rId12" Type="http://schemas.openxmlformats.org/officeDocument/2006/relationships/hyperlink" Target="https://twitter.com/secpubliqueqc?lang=fr"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ecuritepublique.gouv.qc.ca/securite-incendie/prevenir-incendie/conseils-prevention/avertisseur-fumee/installation-entretien.html" TargetMode="External"/><Relationship Id="rId1" Type="http://schemas.openxmlformats.org/officeDocument/2006/relationships/styles" Target="styles.xml"/><Relationship Id="rId6" Type="http://schemas.openxmlformats.org/officeDocument/2006/relationships/image" Target="cid:DMYVGBMLGCDZ.GW_00002.png" TargetMode="External"/><Relationship Id="rId11" Type="http://schemas.openxmlformats.org/officeDocument/2006/relationships/hyperlink" Target="https://www.instagram.com/securitepubliqueqc/" TargetMode="External"/><Relationship Id="rId5" Type="http://schemas.openxmlformats.org/officeDocument/2006/relationships/image" Target="media/image1.png"/><Relationship Id="rId15" Type="http://schemas.openxmlformats.org/officeDocument/2006/relationships/image" Target="cid:YZGDRPZFVUYK.IMAGE_32.jpg" TargetMode="External"/><Relationship Id="rId10" Type="http://schemas.openxmlformats.org/officeDocument/2006/relationships/hyperlink" Target="https://www.facebook.com/securitepublique/?fref=ts" TargetMode="External"/><Relationship Id="rId4" Type="http://schemas.openxmlformats.org/officeDocument/2006/relationships/webSettings" Target="webSettings.xml"/><Relationship Id="rId9" Type="http://schemas.openxmlformats.org/officeDocument/2006/relationships/hyperlink" Target="http://www.securitepublique.gouv.qc.ca/securite-incendie/prevenir-incendie/conseils-prevention/capsule-prevention.html"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4</cp:revision>
  <dcterms:created xsi:type="dcterms:W3CDTF">2018-11-13T17:39:00Z</dcterms:created>
  <dcterms:modified xsi:type="dcterms:W3CDTF">2018-11-13T17:41:00Z</dcterms:modified>
</cp:coreProperties>
</file>